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05EA6" w14:textId="5A4CDE21" w:rsidR="00A254F9" w:rsidRPr="00EA1B4C" w:rsidRDefault="00616E0F" w:rsidP="00A254F9">
      <w:pPr>
        <w:pStyle w:val="Sinespaciado"/>
        <w:jc w:val="center"/>
        <w:rPr>
          <w:rFonts w:ascii="Avenir Next LT Pro" w:hAnsi="Avenir Next LT Pro" w:cs="Arial"/>
          <w:b/>
          <w:bCs/>
        </w:rPr>
      </w:pPr>
      <w:r w:rsidRPr="00EA1B4C">
        <w:rPr>
          <w:rFonts w:ascii="Avenir Next LT Pro" w:hAnsi="Avenir Next LT Pro" w:cs="Arial"/>
          <w:b/>
          <w:bCs/>
        </w:rPr>
        <w:t>Síntesis de los principales cambios</w:t>
      </w:r>
    </w:p>
    <w:p w14:paraId="7980F054" w14:textId="6E7F9094" w:rsidR="00981974" w:rsidRPr="00EA1B4C" w:rsidRDefault="00616E0F" w:rsidP="00A254F9">
      <w:pPr>
        <w:pStyle w:val="Sinespaciado"/>
        <w:jc w:val="center"/>
        <w:rPr>
          <w:rFonts w:ascii="Avenir Next LT Pro" w:hAnsi="Avenir Next LT Pro" w:cs="Arial"/>
          <w:b/>
          <w:bCs/>
        </w:rPr>
      </w:pPr>
      <w:r w:rsidRPr="00EA1B4C">
        <w:rPr>
          <w:rFonts w:ascii="Avenir Next LT Pro" w:hAnsi="Avenir Next LT Pro" w:cs="Arial"/>
          <w:b/>
          <w:bCs/>
        </w:rPr>
        <w:t>entre la convocatoria de 2026 y la de 2027</w:t>
      </w:r>
    </w:p>
    <w:p w14:paraId="2EDA5E93" w14:textId="77777777" w:rsidR="00A254F9" w:rsidRPr="00EA1B4C" w:rsidRDefault="00A254F9" w:rsidP="00A254F9">
      <w:pPr>
        <w:pStyle w:val="Sinespaciado"/>
        <w:jc w:val="center"/>
        <w:rPr>
          <w:rFonts w:ascii="Avenir Next LT Pro" w:hAnsi="Avenir Next LT Pro" w:cs="Arial"/>
          <w:b/>
          <w:bCs/>
        </w:rPr>
      </w:pPr>
    </w:p>
    <w:tbl>
      <w:tblPr>
        <w:tblStyle w:val="Tablanormal2"/>
        <w:tblW w:w="9781" w:type="dxa"/>
        <w:tblInd w:w="-567" w:type="dxa"/>
        <w:tblLook w:val="04A0" w:firstRow="1" w:lastRow="0" w:firstColumn="1" w:lastColumn="0" w:noHBand="0" w:noVBand="1"/>
      </w:tblPr>
      <w:tblGrid>
        <w:gridCol w:w="2515"/>
        <w:gridCol w:w="3207"/>
        <w:gridCol w:w="4059"/>
      </w:tblGrid>
      <w:tr w:rsidR="00616E0F" w:rsidRPr="00EA1B4C" w14:paraId="28C195D4" w14:textId="77777777" w:rsidTr="00A254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shd w:val="clear" w:color="auto" w:fill="BFBFBF" w:themeFill="background1" w:themeFillShade="BF"/>
            <w:hideMark/>
          </w:tcPr>
          <w:p w14:paraId="1FB1443E" w14:textId="77777777" w:rsidR="00616E0F" w:rsidRPr="00EA1B4C" w:rsidRDefault="00616E0F" w:rsidP="00616E0F">
            <w:pPr>
              <w:jc w:val="center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Característica</w:t>
            </w:r>
          </w:p>
        </w:tc>
        <w:tc>
          <w:tcPr>
            <w:tcW w:w="0" w:type="auto"/>
            <w:shd w:val="clear" w:color="auto" w:fill="BFBFBF" w:themeFill="background1" w:themeFillShade="BF"/>
            <w:hideMark/>
          </w:tcPr>
          <w:p w14:paraId="6E93D24A" w14:textId="77777777" w:rsidR="00616E0F" w:rsidRPr="00EA1B4C" w:rsidRDefault="00616E0F" w:rsidP="00616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Convocatoria 2026</w:t>
            </w:r>
          </w:p>
        </w:tc>
        <w:tc>
          <w:tcPr>
            <w:tcW w:w="4059" w:type="dxa"/>
            <w:shd w:val="clear" w:color="auto" w:fill="BFBFBF" w:themeFill="background1" w:themeFillShade="BF"/>
            <w:hideMark/>
          </w:tcPr>
          <w:p w14:paraId="37F763EF" w14:textId="77777777" w:rsidR="00616E0F" w:rsidRPr="00EA1B4C" w:rsidRDefault="00616E0F" w:rsidP="00616E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Convocatoria 2027</w:t>
            </w:r>
          </w:p>
        </w:tc>
      </w:tr>
      <w:tr w:rsidR="00616E0F" w:rsidRPr="00EA1B4C" w14:paraId="316FC430" w14:textId="77777777" w:rsidTr="00A25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  <w:hideMark/>
          </w:tcPr>
          <w:p w14:paraId="259D9CDD" w14:textId="77777777" w:rsidR="00616E0F" w:rsidRPr="00EA1B4C" w:rsidRDefault="00616E0F" w:rsidP="00A254F9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Enfoque Temático</w:t>
            </w:r>
          </w:p>
        </w:tc>
        <w:tc>
          <w:tcPr>
            <w:tcW w:w="0" w:type="auto"/>
            <w:hideMark/>
          </w:tcPr>
          <w:p w14:paraId="2A97A2A1" w14:textId="77777777" w:rsidR="00616E0F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Proyectos de Investigación + Creación relacionados con contenidos artísticos, creativos y culturales.</w:t>
            </w:r>
          </w:p>
        </w:tc>
        <w:tc>
          <w:tcPr>
            <w:tcW w:w="4059" w:type="dxa"/>
            <w:hideMark/>
          </w:tcPr>
          <w:p w14:paraId="1646B3E3" w14:textId="77777777" w:rsidR="00616E0F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Generación, circulación y apropiación del conocimiento en ciencias, tecnologías, artes y humanidades.</w:t>
            </w:r>
          </w:p>
        </w:tc>
      </w:tr>
      <w:tr w:rsidR="00616E0F" w:rsidRPr="00EA1B4C" w14:paraId="30FD0C6F" w14:textId="77777777" w:rsidTr="00A254F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  <w:hideMark/>
          </w:tcPr>
          <w:p w14:paraId="27C62C2C" w14:textId="4E319743" w:rsidR="00616E0F" w:rsidRPr="00EA1B4C" w:rsidRDefault="00616E0F" w:rsidP="00A254F9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Población Objetiv</w:t>
            </w:r>
            <w:r w:rsidR="00A254F9" w:rsidRPr="00EA1B4C">
              <w:rPr>
                <w:rFonts w:ascii="Avenir Next LT Pro" w:eastAsia="Times New Roman" w:hAnsi="Avenir Next LT Pro" w:cs="Arial"/>
                <w:lang w:eastAsia="es-CO"/>
              </w:rPr>
              <w:t>a</w:t>
            </w:r>
          </w:p>
        </w:tc>
        <w:tc>
          <w:tcPr>
            <w:tcW w:w="0" w:type="auto"/>
            <w:hideMark/>
          </w:tcPr>
          <w:p w14:paraId="78995971" w14:textId="77777777" w:rsidR="00616E0F" w:rsidRPr="00EA1B4C" w:rsidRDefault="00616E0F" w:rsidP="00616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Docentes investigadores con dedicación de medio tiempo o tiempo completo.</w:t>
            </w:r>
          </w:p>
        </w:tc>
        <w:tc>
          <w:tcPr>
            <w:tcW w:w="4059" w:type="dxa"/>
            <w:hideMark/>
          </w:tcPr>
          <w:p w14:paraId="2E092C81" w14:textId="18A0EFB3" w:rsidR="00616E0F" w:rsidRPr="00EA1B4C" w:rsidRDefault="00616E0F" w:rsidP="00616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Profesores de tiempo completo</w:t>
            </w:r>
            <w:r w:rsidR="00A254F9"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o 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>medio tiempo</w:t>
            </w:r>
            <w:r w:rsidR="00A254F9" w:rsidRPr="00EA1B4C">
              <w:rPr>
                <w:rFonts w:ascii="Avenir Next LT Pro" w:eastAsia="Times New Roman" w:hAnsi="Avenir Next LT Pro" w:cs="Arial"/>
                <w:lang w:eastAsia="es-CO"/>
              </w:rPr>
              <w:t>,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vinculados a grupos</w:t>
            </w:r>
            <w:r w:rsidR="00A254F9"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activos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o con interés de </w:t>
            </w:r>
            <w:r w:rsidR="00A254F9" w:rsidRPr="00EA1B4C">
              <w:rPr>
                <w:rFonts w:ascii="Avenir Next LT Pro" w:eastAsia="Times New Roman" w:hAnsi="Avenir Next LT Pro" w:cs="Arial"/>
                <w:lang w:eastAsia="es-CO"/>
              </w:rPr>
              <w:t>vincularse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a ellos.</w:t>
            </w:r>
          </w:p>
        </w:tc>
      </w:tr>
      <w:tr w:rsidR="00616E0F" w:rsidRPr="00EA1B4C" w14:paraId="15E19673" w14:textId="77777777" w:rsidTr="00A25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  <w:hideMark/>
          </w:tcPr>
          <w:p w14:paraId="76D2C14F" w14:textId="77777777" w:rsidR="00616E0F" w:rsidRPr="00EA1B4C" w:rsidRDefault="00616E0F" w:rsidP="00A254F9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Roles de Investigación</w:t>
            </w:r>
          </w:p>
        </w:tc>
        <w:tc>
          <w:tcPr>
            <w:tcW w:w="0" w:type="auto"/>
            <w:hideMark/>
          </w:tcPr>
          <w:p w14:paraId="0E4EDC61" w14:textId="77777777" w:rsidR="00616E0F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Investigador Principal y Coinvestigador.</w:t>
            </w:r>
          </w:p>
        </w:tc>
        <w:tc>
          <w:tcPr>
            <w:tcW w:w="4059" w:type="dxa"/>
            <w:hideMark/>
          </w:tcPr>
          <w:p w14:paraId="02691F47" w14:textId="77777777" w:rsidR="00616E0F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Investigador Principal, Coinvestigador e Investigador Novel.</w:t>
            </w:r>
          </w:p>
        </w:tc>
      </w:tr>
      <w:tr w:rsidR="00616E0F" w:rsidRPr="00EA1B4C" w14:paraId="121B18A6" w14:textId="77777777" w:rsidTr="00A254F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  <w:hideMark/>
          </w:tcPr>
          <w:p w14:paraId="3FB614BD" w14:textId="77777777" w:rsidR="00A254F9" w:rsidRPr="00EA1B4C" w:rsidRDefault="00616E0F" w:rsidP="00A254F9">
            <w:pPr>
              <w:rPr>
                <w:rFonts w:ascii="Avenir Next LT Pro" w:eastAsia="Times New Roman" w:hAnsi="Avenir Next LT Pro" w:cs="Arial"/>
                <w:b w:val="0"/>
                <w:bCs w:val="0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Requisitos de</w:t>
            </w:r>
          </w:p>
          <w:p w14:paraId="0A558157" w14:textId="47466230" w:rsidR="00616E0F" w:rsidRPr="00EA1B4C" w:rsidRDefault="00616E0F" w:rsidP="00A254F9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Cofinanciación</w:t>
            </w:r>
          </w:p>
        </w:tc>
        <w:tc>
          <w:tcPr>
            <w:tcW w:w="0" w:type="auto"/>
            <w:hideMark/>
          </w:tcPr>
          <w:p w14:paraId="0D4F9CA2" w14:textId="77777777" w:rsidR="00616E0F" w:rsidRPr="00EA1B4C" w:rsidRDefault="00616E0F" w:rsidP="00616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Obligatoria (min. 30%) para proyectos de mediana y mayor cuantía.</w:t>
            </w:r>
          </w:p>
        </w:tc>
        <w:tc>
          <w:tcPr>
            <w:tcW w:w="4059" w:type="dxa"/>
            <w:hideMark/>
          </w:tcPr>
          <w:p w14:paraId="4238A4E7" w14:textId="77777777" w:rsidR="00616E0F" w:rsidRPr="00EA1B4C" w:rsidRDefault="00616E0F" w:rsidP="00616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Obligatoria (min. 30%) solo para proyectos de mayor cuantía.</w:t>
            </w:r>
          </w:p>
        </w:tc>
      </w:tr>
      <w:tr w:rsidR="00616E0F" w:rsidRPr="00EA1B4C" w14:paraId="4774A98C" w14:textId="77777777" w:rsidTr="00A25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  <w:hideMark/>
          </w:tcPr>
          <w:p w14:paraId="348D4CE8" w14:textId="77777777" w:rsidR="00616E0F" w:rsidRPr="00EA1B4C" w:rsidRDefault="00616E0F" w:rsidP="00A254F9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Condición Mediana Cuantía</w:t>
            </w:r>
          </w:p>
        </w:tc>
        <w:tc>
          <w:tcPr>
            <w:tcW w:w="0" w:type="auto"/>
            <w:hideMark/>
          </w:tcPr>
          <w:p w14:paraId="2BCC2764" w14:textId="77777777" w:rsidR="00616E0F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Requiere cofinanciación externa.</w:t>
            </w:r>
          </w:p>
        </w:tc>
        <w:tc>
          <w:tcPr>
            <w:tcW w:w="4059" w:type="dxa"/>
            <w:hideMark/>
          </w:tcPr>
          <w:p w14:paraId="520FE944" w14:textId="6373E406" w:rsidR="00616E0F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No requiere cofinanciación, pero debe incluir al menos un investigador de otro grupo o centro regional.</w:t>
            </w:r>
          </w:p>
        </w:tc>
      </w:tr>
      <w:tr w:rsidR="00616E0F" w:rsidRPr="00EA1B4C" w14:paraId="15D53EA9" w14:textId="77777777" w:rsidTr="00A254F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  <w:hideMark/>
          </w:tcPr>
          <w:p w14:paraId="61994383" w14:textId="77777777" w:rsidR="00616E0F" w:rsidRPr="00EA1B4C" w:rsidRDefault="00616E0F" w:rsidP="00A254F9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Dedicación Semanal Máxima</w:t>
            </w:r>
          </w:p>
        </w:tc>
        <w:tc>
          <w:tcPr>
            <w:tcW w:w="0" w:type="auto"/>
            <w:hideMark/>
          </w:tcPr>
          <w:p w14:paraId="4FBFE8C2" w14:textId="77777777" w:rsidR="00616E0F" w:rsidRPr="00EA1B4C" w:rsidRDefault="00616E0F" w:rsidP="00616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Según escalafón Minciencias (Senior: 25h, Asociado: 18h, Junior: 10h).</w:t>
            </w:r>
          </w:p>
        </w:tc>
        <w:tc>
          <w:tcPr>
            <w:tcW w:w="4059" w:type="dxa"/>
            <w:hideMark/>
          </w:tcPr>
          <w:p w14:paraId="10513119" w14:textId="509D8029" w:rsidR="00616E0F" w:rsidRPr="00EA1B4C" w:rsidRDefault="00DD6539" w:rsidP="00616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DD6539">
              <w:rPr>
                <w:rFonts w:ascii="Avenir Next LT Pro" w:eastAsia="Times New Roman" w:hAnsi="Avenir Next LT Pro" w:cs="Arial"/>
                <w:lang w:eastAsia="es-CO"/>
              </w:rPr>
              <w:t>Asignación de horas según el rol, la naturaleza del proyecto y la disponibilidad institucional, conforme a los lineamientos de la convocatoria</w:t>
            </w:r>
            <w:r>
              <w:rPr>
                <w:rFonts w:ascii="Avenir Next LT Pro" w:eastAsia="Times New Roman" w:hAnsi="Avenir Next LT Pro" w:cs="Arial"/>
                <w:lang w:eastAsia="es-CO"/>
              </w:rPr>
              <w:t>.</w:t>
            </w:r>
          </w:p>
        </w:tc>
      </w:tr>
      <w:tr w:rsidR="00616E0F" w:rsidRPr="00EA1B4C" w14:paraId="11D5A305" w14:textId="77777777" w:rsidTr="00A25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  <w:hideMark/>
          </w:tcPr>
          <w:p w14:paraId="30D1A42D" w14:textId="77777777" w:rsidR="00616E0F" w:rsidRPr="00EA1B4C" w:rsidRDefault="00616E0F" w:rsidP="00A254F9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Evaluación</w:t>
            </w:r>
          </w:p>
        </w:tc>
        <w:tc>
          <w:tcPr>
            <w:tcW w:w="0" w:type="auto"/>
            <w:hideMark/>
          </w:tcPr>
          <w:p w14:paraId="75941076" w14:textId="4D225087" w:rsidR="00616E0F" w:rsidRPr="00EA1B4C" w:rsidRDefault="0075157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75157F">
              <w:rPr>
                <w:rFonts w:ascii="Avenir Next LT Pro" w:eastAsia="Times New Roman" w:hAnsi="Avenir Next LT Pro" w:cs="Arial"/>
                <w:lang w:eastAsia="es-CO"/>
              </w:rPr>
              <w:t>Rúbrica de 100 puntos enfocada en Planteamiento (45%), Alineación temática (15%), Cronograma e Impactos.</w:t>
            </w:r>
          </w:p>
        </w:tc>
        <w:tc>
          <w:tcPr>
            <w:tcW w:w="4059" w:type="dxa"/>
            <w:hideMark/>
          </w:tcPr>
          <w:p w14:paraId="3F9308A4" w14:textId="77777777" w:rsidR="0075157F" w:rsidRDefault="0075157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75157F">
              <w:rPr>
                <w:rFonts w:ascii="Avenir Next LT Pro" w:eastAsia="Times New Roman" w:hAnsi="Avenir Next LT Pro" w:cs="Arial"/>
                <w:lang w:eastAsia="es-CO"/>
              </w:rPr>
              <w:t xml:space="preserve">Tres fases: 1. Verificación de requisitos, 2. Evaluación externa y 3. Priorización. </w:t>
            </w:r>
          </w:p>
          <w:p w14:paraId="0664CD91" w14:textId="1D3B6D77" w:rsidR="0075157F" w:rsidRDefault="0075157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75157F">
              <w:rPr>
                <w:rFonts w:ascii="Avenir Next LT Pro" w:eastAsia="Times New Roman" w:hAnsi="Avenir Next LT Pro" w:cs="Arial"/>
                <w:lang w:eastAsia="es-CO"/>
              </w:rPr>
              <w:t>Rúbrica</w:t>
            </w:r>
            <w:r w:rsidR="00D95232">
              <w:rPr>
                <w:rFonts w:ascii="Avenir Next LT Pro" w:eastAsia="Times New Roman" w:hAnsi="Avenir Next LT Pro" w:cs="Arial"/>
                <w:lang w:eastAsia="es-CO"/>
              </w:rPr>
              <w:t>.</w:t>
            </w:r>
          </w:p>
          <w:p w14:paraId="6D7C68B2" w14:textId="77777777" w:rsidR="0075157F" w:rsidRDefault="0075157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</w:p>
          <w:p w14:paraId="4C486EF6" w14:textId="034E3BC2" w:rsidR="0075157F" w:rsidRPr="00EA1B4C" w:rsidRDefault="0075157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</w:p>
        </w:tc>
      </w:tr>
      <w:tr w:rsidR="00616E0F" w:rsidRPr="00EA1B4C" w14:paraId="5C249FC8" w14:textId="77777777" w:rsidTr="00A254F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  <w:hideMark/>
          </w:tcPr>
          <w:p w14:paraId="4BDBAD83" w14:textId="77777777" w:rsidR="00616E0F" w:rsidRPr="00EA1B4C" w:rsidRDefault="00616E0F" w:rsidP="00A254F9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Criterios de Aprobación</w:t>
            </w:r>
          </w:p>
        </w:tc>
        <w:tc>
          <w:tcPr>
            <w:tcW w:w="0" w:type="auto"/>
            <w:hideMark/>
          </w:tcPr>
          <w:p w14:paraId="459C6B5B" w14:textId="77777777" w:rsidR="00616E0F" w:rsidRPr="00EA1B4C" w:rsidRDefault="00616E0F" w:rsidP="00616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Verificación preliminar y puntuación por rúbrica.</w:t>
            </w:r>
          </w:p>
        </w:tc>
        <w:tc>
          <w:tcPr>
            <w:tcW w:w="4059" w:type="dxa"/>
            <w:hideMark/>
          </w:tcPr>
          <w:p w14:paraId="1CCF6A10" w14:textId="6DBFD794" w:rsidR="00616E0F" w:rsidRPr="00EA1B4C" w:rsidRDefault="00616E0F" w:rsidP="00616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Directa: 85-100 pts. Con ajustes: 70-84 pts. Rechazado: </w:t>
            </w:r>
            <w:r w:rsidR="00A254F9" w:rsidRPr="00EA1B4C">
              <w:rPr>
                <w:rFonts w:ascii="Avenir Next LT Pro" w:eastAsia="Times New Roman" w:hAnsi="Avenir Next LT Pro" w:cs="Arial"/>
                <w:lang w:eastAsia="es-CO"/>
              </w:rPr>
              <w:t>menor de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69 </w:t>
            </w:r>
            <w:r w:rsidR="00B2225E" w:rsidRPr="00EA1B4C">
              <w:rPr>
                <w:rFonts w:ascii="Avenir Next LT Pro" w:eastAsia="Times New Roman" w:hAnsi="Avenir Next LT Pro" w:cs="Arial"/>
                <w:lang w:eastAsia="es-CO"/>
              </w:rPr>
              <w:t>pts.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</w:t>
            </w:r>
          </w:p>
        </w:tc>
      </w:tr>
      <w:tr w:rsidR="00616E0F" w:rsidRPr="00EA1B4C" w14:paraId="20A45641" w14:textId="77777777" w:rsidTr="00A25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vAlign w:val="center"/>
            <w:hideMark/>
          </w:tcPr>
          <w:p w14:paraId="0412AFCD" w14:textId="77777777" w:rsidR="00616E0F" w:rsidRPr="00EA1B4C" w:rsidRDefault="00616E0F" w:rsidP="00A254F9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Fechas de Ejecución</w:t>
            </w:r>
          </w:p>
        </w:tc>
        <w:tc>
          <w:tcPr>
            <w:tcW w:w="0" w:type="auto"/>
            <w:hideMark/>
          </w:tcPr>
          <w:p w14:paraId="5BEEED6A" w14:textId="77777777" w:rsidR="00616E0F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Febrero a Noviembre de 2026.</w:t>
            </w:r>
          </w:p>
        </w:tc>
        <w:tc>
          <w:tcPr>
            <w:tcW w:w="4059" w:type="dxa"/>
            <w:hideMark/>
          </w:tcPr>
          <w:p w14:paraId="7816E035" w14:textId="77777777" w:rsidR="00616E0F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Febrero a Noviembre de 2027.</w:t>
            </w:r>
          </w:p>
        </w:tc>
      </w:tr>
    </w:tbl>
    <w:p w14:paraId="16C24195" w14:textId="77777777" w:rsidR="00616E0F" w:rsidRPr="00EA1B4C" w:rsidRDefault="00616E0F" w:rsidP="00616E0F">
      <w:pPr>
        <w:jc w:val="center"/>
        <w:rPr>
          <w:rFonts w:ascii="Avenir Next LT Pro" w:hAnsi="Avenir Next LT Pro" w:cs="Arial"/>
        </w:rPr>
      </w:pPr>
    </w:p>
    <w:p w14:paraId="63A56E32" w14:textId="10A2722E" w:rsidR="00616E0F" w:rsidRPr="00EA1B4C" w:rsidRDefault="00616E0F" w:rsidP="00B2225E">
      <w:pPr>
        <w:shd w:val="clear" w:color="auto" w:fill="4472C4" w:themeFill="accent1"/>
        <w:jc w:val="center"/>
        <w:rPr>
          <w:rFonts w:ascii="Avenir Next LT Pro" w:hAnsi="Avenir Next LT Pro" w:cs="Arial"/>
          <w:b/>
          <w:bCs/>
        </w:rPr>
      </w:pPr>
      <w:r w:rsidRPr="00EA1B4C">
        <w:rPr>
          <w:rFonts w:ascii="Avenir Next LT Pro" w:hAnsi="Avenir Next LT Pro" w:cs="Arial"/>
          <w:b/>
          <w:bCs/>
        </w:rPr>
        <w:t>Pertinencia de los principales cambios</w:t>
      </w:r>
    </w:p>
    <w:tbl>
      <w:tblPr>
        <w:tblStyle w:val="Tablanormal2"/>
        <w:tblW w:w="10348" w:type="dxa"/>
        <w:tblInd w:w="-567" w:type="dxa"/>
        <w:tblLook w:val="04A0" w:firstRow="1" w:lastRow="0" w:firstColumn="1" w:lastColumn="0" w:noHBand="0" w:noVBand="1"/>
      </w:tblPr>
      <w:tblGrid>
        <w:gridCol w:w="2694"/>
        <w:gridCol w:w="7654"/>
      </w:tblGrid>
      <w:tr w:rsidR="00616E0F" w:rsidRPr="00EA1B4C" w14:paraId="7ECB1070" w14:textId="77777777" w:rsidTr="00616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089CEE2C" w14:textId="77777777" w:rsidR="00616E0F" w:rsidRPr="00EA1B4C" w:rsidRDefault="00616E0F" w:rsidP="00616E0F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Cambio / Perfil</w:t>
            </w:r>
          </w:p>
        </w:tc>
        <w:tc>
          <w:tcPr>
            <w:tcW w:w="7654" w:type="dxa"/>
            <w:hideMark/>
          </w:tcPr>
          <w:p w14:paraId="0769BED8" w14:textId="77777777" w:rsidR="00616E0F" w:rsidRPr="00EA1B4C" w:rsidRDefault="00616E0F" w:rsidP="00616E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Descripción y Pertinencia</w:t>
            </w:r>
          </w:p>
        </w:tc>
      </w:tr>
      <w:tr w:rsidR="00616E0F" w:rsidRPr="00EA1B4C" w14:paraId="751A20E0" w14:textId="77777777" w:rsidTr="00616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4F42A189" w14:textId="730A92B8" w:rsidR="00616E0F" w:rsidRPr="00EA1B4C" w:rsidRDefault="00616E0F" w:rsidP="00616E0F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Inclusión de Investigador Novel</w:t>
            </w:r>
          </w:p>
        </w:tc>
        <w:tc>
          <w:tcPr>
            <w:tcW w:w="7654" w:type="dxa"/>
            <w:hideMark/>
          </w:tcPr>
          <w:p w14:paraId="4A3BD9AA" w14:textId="0BC25204" w:rsidR="00616E0F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Pertinencia: 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>p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ermite el relevo generacional y la formación de docentes sin experiencia previa, 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>invitándoles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a capacitarse en gestión de la investigación 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aprovechando los recursos del 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DEREA o 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a través de su 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>participa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>ción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en semilleros 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como 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FBI. </w:t>
            </w:r>
          </w:p>
        </w:tc>
      </w:tr>
      <w:tr w:rsidR="00616E0F" w:rsidRPr="00EA1B4C" w14:paraId="5DD12993" w14:textId="77777777" w:rsidTr="00616E0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066C3494" w14:textId="77777777" w:rsidR="00616E0F" w:rsidRPr="00EA1B4C" w:rsidRDefault="00616E0F" w:rsidP="00616E0F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Coinvestigador Externo al Grupo (Perfil 2)</w:t>
            </w:r>
          </w:p>
        </w:tc>
        <w:tc>
          <w:tcPr>
            <w:tcW w:w="7654" w:type="dxa"/>
            <w:hideMark/>
          </w:tcPr>
          <w:p w14:paraId="0029C758" w14:textId="7804D8F5" w:rsidR="00616E0F" w:rsidRPr="00EA1B4C" w:rsidRDefault="00616E0F" w:rsidP="00616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Pertinencia: 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>s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e abre la puerta a docentes de la Universidad con experiencia demostrable en su trayectoria profesional, aunque no estén activos en un grupo interno, 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aprovechando su capital intelectual y 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facilitando su integración posterior. </w:t>
            </w:r>
          </w:p>
        </w:tc>
      </w:tr>
      <w:tr w:rsidR="00616E0F" w:rsidRPr="00EA1B4C" w14:paraId="6349BDD1" w14:textId="77777777" w:rsidTr="00616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3C34C57E" w14:textId="77777777" w:rsidR="00616E0F" w:rsidRPr="00EA1B4C" w:rsidRDefault="00616E0F" w:rsidP="00616E0F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lastRenderedPageBreak/>
              <w:t>Coinvestigador de Entidad Cofinanciadora (Perfil 3)</w:t>
            </w:r>
          </w:p>
        </w:tc>
        <w:tc>
          <w:tcPr>
            <w:tcW w:w="7654" w:type="dxa"/>
            <w:hideMark/>
          </w:tcPr>
          <w:p w14:paraId="4F8959E0" w14:textId="22ACD329" w:rsidR="00616E0F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Pertinencia: 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>e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xclusivo para proyectos de Mayor Cuantía. 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>Valida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la experiencia externa y fortalece el vínculo con las instituciones que aportan recursos al proyecto.</w:t>
            </w:r>
          </w:p>
        </w:tc>
      </w:tr>
      <w:tr w:rsidR="00616E0F" w:rsidRPr="00EA1B4C" w14:paraId="7C93EE2F" w14:textId="77777777" w:rsidTr="00616E0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1F03D3CB" w14:textId="77777777" w:rsidR="00616E0F" w:rsidRPr="00EA1B4C" w:rsidRDefault="00616E0F" w:rsidP="00616E0F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Eliminación de Cofinanciación en Mediana Cuantía</w:t>
            </w:r>
          </w:p>
        </w:tc>
        <w:tc>
          <w:tcPr>
            <w:tcW w:w="7654" w:type="dxa"/>
            <w:hideMark/>
          </w:tcPr>
          <w:p w14:paraId="70E0D68E" w14:textId="5E5BE5FF" w:rsidR="00616E0F" w:rsidRPr="00EA1B4C" w:rsidRDefault="00616E0F" w:rsidP="00616E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Pertinencia: 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>s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>ustituye el requisito económico por uno de colaboración intergrupal (entre sedes o facultades), priorizando el fortalecimiento de redes internas sobre el recurso monetario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y mejorando los índices de colaboración entre grupos, lo cual podría aportar a la generación de comunidades académicas. </w:t>
            </w:r>
          </w:p>
        </w:tc>
      </w:tr>
      <w:tr w:rsidR="00616E0F" w:rsidRPr="00EA1B4C" w14:paraId="1831588C" w14:textId="77777777" w:rsidTr="00616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522570CB" w14:textId="3AE6A59A" w:rsidR="00616E0F" w:rsidRPr="00EA1B4C" w:rsidRDefault="00616E0F" w:rsidP="00616E0F">
            <w:pPr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Dedicación por Roles</w:t>
            </w:r>
            <w:r w:rsidR="003A2767"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 y </w:t>
            </w:r>
            <w:r w:rsidRPr="00EA1B4C">
              <w:rPr>
                <w:rFonts w:ascii="Avenir Next LT Pro" w:eastAsia="Times New Roman" w:hAnsi="Avenir Next LT Pro" w:cs="Arial"/>
                <w:lang w:eastAsia="es-CO"/>
              </w:rPr>
              <w:t>No por Escalafón</w:t>
            </w:r>
          </w:p>
        </w:tc>
        <w:tc>
          <w:tcPr>
            <w:tcW w:w="7654" w:type="dxa"/>
            <w:hideMark/>
          </w:tcPr>
          <w:p w14:paraId="1DC82AA4" w14:textId="60EAADE0" w:rsidR="003A2767" w:rsidRPr="00EA1B4C" w:rsidRDefault="00616E0F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 xml:space="preserve">Pertinencia: </w:t>
            </w:r>
            <w:r w:rsidR="00DD6539" w:rsidRPr="00DD6539">
              <w:rPr>
                <w:rFonts w:ascii="Avenir Next LT Pro" w:eastAsia="Times New Roman" w:hAnsi="Avenir Next LT Pro" w:cs="Arial"/>
                <w:lang w:eastAsia="es-CO"/>
              </w:rPr>
              <w:t xml:space="preserve">En 2027 la asignación de horas privilegia el rol y la participación efectiva en el proyecto, en lugar del escalafón en </w:t>
            </w:r>
            <w:proofErr w:type="spellStart"/>
            <w:r w:rsidR="00DD6539" w:rsidRPr="00DD6539">
              <w:rPr>
                <w:rFonts w:ascii="Avenir Next LT Pro" w:eastAsia="Times New Roman" w:hAnsi="Avenir Next LT Pro" w:cs="Arial"/>
                <w:lang w:eastAsia="es-CO"/>
              </w:rPr>
              <w:t>Minciencias</w:t>
            </w:r>
            <w:proofErr w:type="spellEnd"/>
            <w:r w:rsidR="00DD6539" w:rsidRPr="00DD6539">
              <w:rPr>
                <w:rFonts w:ascii="Avenir Next LT Pro" w:eastAsia="Times New Roman" w:hAnsi="Avenir Next LT Pro" w:cs="Arial"/>
                <w:lang w:eastAsia="es-CO"/>
              </w:rPr>
              <w:t>, favoreciendo una distribución más equitativa y el fortalecimiento de las capacidades investigativas institucionales.</w:t>
            </w:r>
          </w:p>
          <w:p w14:paraId="032003CB" w14:textId="77777777" w:rsidR="003A2767" w:rsidRPr="00EA1B4C" w:rsidRDefault="003A2767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</w:p>
          <w:p w14:paraId="0164EEFF" w14:textId="2318A288" w:rsidR="00616E0F" w:rsidRPr="00EA1B4C" w:rsidRDefault="003A2767" w:rsidP="00616E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Arial"/>
                <w:lang w:eastAsia="es-CO"/>
              </w:rPr>
            </w:pPr>
            <w:r w:rsidRPr="00EA1B4C">
              <w:rPr>
                <w:rFonts w:ascii="Avenir Next LT Pro" w:eastAsia="Times New Roman" w:hAnsi="Avenir Next LT Pro" w:cs="Arial"/>
                <w:lang w:eastAsia="es-CO"/>
              </w:rPr>
              <w:t>No se considera pertinente la asignación de tiempo según escalafón de los investigadores en Minciencias (Senior, Asociado y Junior), porque esto limita la población objetiva a quien se dirige la convocatoria, entorpece el propósito de cualificación de los investigadores sin categoría y no da lugar para el relevo generacional con la formación de investigadores nóveles.  Entre otros asuntos.</w:t>
            </w:r>
          </w:p>
        </w:tc>
      </w:tr>
    </w:tbl>
    <w:p w14:paraId="266F91F9" w14:textId="77777777" w:rsidR="0086714A" w:rsidRPr="00EA1B4C" w:rsidRDefault="0086714A" w:rsidP="00D4501A">
      <w:pPr>
        <w:jc w:val="center"/>
        <w:rPr>
          <w:rFonts w:ascii="Avenir Next LT Pro" w:hAnsi="Avenir Next LT Pro" w:cs="Arial"/>
          <w:b/>
          <w:bCs/>
          <w:lang w:eastAsia="es-CO"/>
        </w:rPr>
      </w:pPr>
    </w:p>
    <w:p w14:paraId="6EC1D268" w14:textId="73733971" w:rsidR="00616E0F" w:rsidRPr="00EA1B4C" w:rsidRDefault="00D4501A" w:rsidP="00B2225E">
      <w:pPr>
        <w:shd w:val="clear" w:color="auto" w:fill="4472C4" w:themeFill="accent1"/>
        <w:jc w:val="center"/>
        <w:rPr>
          <w:rFonts w:ascii="Avenir Next LT Pro" w:hAnsi="Avenir Next LT Pro" w:cs="Arial"/>
          <w:b/>
          <w:bCs/>
          <w:lang w:eastAsia="es-CO"/>
        </w:rPr>
      </w:pPr>
      <w:r w:rsidRPr="00EA1B4C">
        <w:rPr>
          <w:rFonts w:ascii="Avenir Next LT Pro" w:hAnsi="Avenir Next LT Pro" w:cs="Arial"/>
          <w:b/>
          <w:bCs/>
          <w:lang w:eastAsia="es-CO"/>
        </w:rPr>
        <w:t>Consideraciones en torno a la f</w:t>
      </w:r>
      <w:r w:rsidR="00616E0F" w:rsidRPr="00EA1B4C">
        <w:rPr>
          <w:rFonts w:ascii="Avenir Next LT Pro" w:hAnsi="Avenir Next LT Pro" w:cs="Arial"/>
          <w:b/>
          <w:bCs/>
          <w:lang w:eastAsia="es-CO"/>
        </w:rPr>
        <w:t>lexibilidad</w:t>
      </w:r>
      <w:r w:rsidRPr="00EA1B4C">
        <w:rPr>
          <w:rFonts w:ascii="Avenir Next LT Pro" w:hAnsi="Avenir Next LT Pro" w:cs="Arial"/>
          <w:b/>
          <w:bCs/>
          <w:lang w:eastAsia="es-CO"/>
        </w:rPr>
        <w:t xml:space="preserve"> y la</w:t>
      </w:r>
      <w:r w:rsidR="00616E0F" w:rsidRPr="00EA1B4C">
        <w:rPr>
          <w:rFonts w:ascii="Avenir Next LT Pro" w:hAnsi="Avenir Next LT Pro" w:cs="Arial"/>
          <w:b/>
          <w:bCs/>
          <w:lang w:eastAsia="es-CO"/>
        </w:rPr>
        <w:t xml:space="preserve"> </w:t>
      </w:r>
      <w:r w:rsidRPr="00EA1B4C">
        <w:rPr>
          <w:rFonts w:ascii="Avenir Next LT Pro" w:hAnsi="Avenir Next LT Pro" w:cs="Arial"/>
          <w:b/>
          <w:bCs/>
          <w:lang w:eastAsia="es-CO"/>
        </w:rPr>
        <w:t>p</w:t>
      </w:r>
      <w:r w:rsidR="00616E0F" w:rsidRPr="00EA1B4C">
        <w:rPr>
          <w:rFonts w:ascii="Avenir Next LT Pro" w:hAnsi="Avenir Next LT Pro" w:cs="Arial"/>
          <w:b/>
          <w:bCs/>
          <w:lang w:eastAsia="es-CO"/>
        </w:rPr>
        <w:t xml:space="preserve">royección </w:t>
      </w:r>
      <w:r w:rsidRPr="00EA1B4C">
        <w:rPr>
          <w:rFonts w:ascii="Avenir Next LT Pro" w:hAnsi="Avenir Next LT Pro" w:cs="Arial"/>
          <w:b/>
          <w:bCs/>
          <w:lang w:eastAsia="es-CO"/>
        </w:rPr>
        <w:t xml:space="preserve">de la </w:t>
      </w:r>
      <w:r w:rsidR="00616E0F" w:rsidRPr="00EA1B4C">
        <w:rPr>
          <w:rFonts w:ascii="Avenir Next LT Pro" w:hAnsi="Avenir Next LT Pro" w:cs="Arial"/>
          <w:b/>
          <w:bCs/>
          <w:lang w:eastAsia="es-CO"/>
        </w:rPr>
        <w:t>Convocatoria 2027</w:t>
      </w:r>
    </w:p>
    <w:p w14:paraId="6F0FF689" w14:textId="77777777" w:rsidR="00616E0F" w:rsidRPr="00EA1B4C" w:rsidRDefault="00616E0F" w:rsidP="0086714A">
      <w:pPr>
        <w:pStyle w:val="Sinespaciado"/>
        <w:ind w:left="-567"/>
        <w:rPr>
          <w:rFonts w:ascii="Avenir Next LT Pro" w:eastAsia="Times New Roman" w:hAnsi="Avenir Next LT Pro" w:cs="Arial"/>
          <w:b/>
          <w:bCs/>
          <w:lang w:eastAsia="es-CO"/>
        </w:rPr>
      </w:pPr>
      <w:r w:rsidRPr="00EA1B4C">
        <w:rPr>
          <w:rFonts w:ascii="Avenir Next LT Pro" w:hAnsi="Avenir Next LT Pro" w:cs="Arial"/>
          <w:b/>
          <w:bCs/>
          <w:lang w:eastAsia="es-CO"/>
        </w:rPr>
        <w:t>1. Flexibilidad Administrativa y Financiera</w:t>
      </w:r>
    </w:p>
    <w:p w14:paraId="7FCB9445" w14:textId="362D5A18" w:rsidR="00D55B55" w:rsidRPr="00D55B55" w:rsidRDefault="00616E0F" w:rsidP="00D55B55">
      <w:pPr>
        <w:numPr>
          <w:ilvl w:val="0"/>
          <w:numId w:val="1"/>
        </w:numPr>
        <w:tabs>
          <w:tab w:val="clear" w:pos="720"/>
          <w:tab w:val="num" w:pos="1560"/>
        </w:tabs>
        <w:spacing w:before="100" w:beforeAutospacing="1" w:after="100" w:afterAutospacing="1" w:line="240" w:lineRule="auto"/>
        <w:ind w:left="-284"/>
        <w:jc w:val="both"/>
        <w:rPr>
          <w:rFonts w:ascii="Avenir Next LT Pro" w:eastAsia="Times New Roman" w:hAnsi="Avenir Next LT Pro" w:cs="Arial"/>
          <w:lang w:eastAsia="es-CO"/>
        </w:rPr>
      </w:pPr>
      <w:r w:rsidRPr="00EA1B4C">
        <w:rPr>
          <w:rFonts w:ascii="Avenir Next LT Pro" w:eastAsia="Times New Roman" w:hAnsi="Avenir Next LT Pro" w:cs="Arial"/>
          <w:b/>
          <w:bCs/>
          <w:lang w:eastAsia="es-CO"/>
        </w:rPr>
        <w:t>Cofinanciación Selectiva:</w:t>
      </w:r>
      <w:r w:rsidRPr="00EA1B4C">
        <w:rPr>
          <w:rFonts w:ascii="Avenir Next LT Pro" w:eastAsia="Times New Roman" w:hAnsi="Avenir Next LT Pro" w:cs="Arial"/>
          <w:lang w:eastAsia="es-CO"/>
        </w:rPr>
        <w:t xml:space="preserve"> </w:t>
      </w:r>
      <w:r w:rsidR="0086714A" w:rsidRPr="00EA1B4C">
        <w:rPr>
          <w:rFonts w:ascii="Avenir Next LT Pro" w:eastAsia="Times New Roman" w:hAnsi="Avenir Next LT Pro" w:cs="Arial"/>
          <w:lang w:eastAsia="es-CO"/>
        </w:rPr>
        <w:t>a</w:t>
      </w:r>
      <w:r w:rsidRPr="00EA1B4C">
        <w:rPr>
          <w:rFonts w:ascii="Avenir Next LT Pro" w:eastAsia="Times New Roman" w:hAnsi="Avenir Next LT Pro" w:cs="Arial"/>
          <w:lang w:eastAsia="es-CO"/>
        </w:rPr>
        <w:t xml:space="preserve"> diferencia de 2026, donde la mediana cuantía exigía obligatoriamente un 30% de recursos externos, el modelo 2027 elimina esta barrera para la mediana cuantía, </w:t>
      </w:r>
      <w:r w:rsidR="0086714A" w:rsidRPr="00EA1B4C">
        <w:rPr>
          <w:rFonts w:ascii="Avenir Next LT Pro" w:eastAsia="Times New Roman" w:hAnsi="Avenir Next LT Pro" w:cs="Arial"/>
          <w:lang w:eastAsia="es-CO"/>
        </w:rPr>
        <w:t xml:space="preserve">invitando </w:t>
      </w:r>
      <w:r w:rsidRPr="00EA1B4C">
        <w:rPr>
          <w:rFonts w:ascii="Avenir Next LT Pro" w:eastAsia="Times New Roman" w:hAnsi="Avenir Next LT Pro" w:cs="Arial"/>
          <w:lang w:eastAsia="es-CO"/>
        </w:rPr>
        <w:t>en su lugar trabajo colaborativo interno.</w:t>
      </w:r>
    </w:p>
    <w:p w14:paraId="2D53D9D9" w14:textId="060B715E" w:rsidR="00D95232" w:rsidRDefault="00616E0F" w:rsidP="00D95232">
      <w:pPr>
        <w:numPr>
          <w:ilvl w:val="0"/>
          <w:numId w:val="1"/>
        </w:numPr>
        <w:tabs>
          <w:tab w:val="clear" w:pos="720"/>
          <w:tab w:val="num" w:pos="1560"/>
        </w:tabs>
        <w:spacing w:before="100" w:beforeAutospacing="1" w:after="100" w:afterAutospacing="1" w:line="240" w:lineRule="auto"/>
        <w:ind w:left="-284"/>
        <w:jc w:val="both"/>
        <w:rPr>
          <w:rFonts w:ascii="Avenir Next LT Pro" w:eastAsia="Times New Roman" w:hAnsi="Avenir Next LT Pro" w:cs="Arial"/>
          <w:lang w:eastAsia="es-CO"/>
        </w:rPr>
      </w:pPr>
      <w:r w:rsidRPr="00D95232">
        <w:rPr>
          <w:rFonts w:ascii="Avenir Next LT Pro" w:eastAsia="Times New Roman" w:hAnsi="Avenir Next LT Pro" w:cs="Arial"/>
          <w:b/>
          <w:bCs/>
          <w:lang w:eastAsia="es-CO"/>
        </w:rPr>
        <w:t>Prórrogas según Producto:</w:t>
      </w:r>
      <w:r w:rsidRPr="00D95232">
        <w:rPr>
          <w:rFonts w:ascii="Avenir Next LT Pro" w:eastAsia="Times New Roman" w:hAnsi="Avenir Next LT Pro" w:cs="Arial"/>
          <w:lang w:eastAsia="es-CO"/>
        </w:rPr>
        <w:t xml:space="preserve"> </w:t>
      </w:r>
      <w:r w:rsidR="00D95232" w:rsidRPr="00D95232">
        <w:rPr>
          <w:rFonts w:ascii="Avenir Next LT Pro" w:eastAsia="Times New Roman" w:hAnsi="Avenir Next LT Pro" w:cs="Arial"/>
          <w:lang w:eastAsia="es-CO"/>
        </w:rPr>
        <w:t>Se contempla la posibilidad de otorgar prórrogas para la entrega de productos finales, de acuerdo con su naturaleza, complejidad y proceso de gestión, evaluación o publicación.</w:t>
      </w:r>
    </w:p>
    <w:p w14:paraId="04589EBD" w14:textId="3423E964" w:rsidR="00D55B55" w:rsidRDefault="00D55B55" w:rsidP="00D55B55">
      <w:pPr>
        <w:numPr>
          <w:ilvl w:val="0"/>
          <w:numId w:val="1"/>
        </w:numPr>
        <w:tabs>
          <w:tab w:val="clear" w:pos="720"/>
          <w:tab w:val="num" w:pos="1560"/>
        </w:tabs>
        <w:spacing w:before="100" w:beforeAutospacing="1" w:after="100" w:afterAutospacing="1" w:line="240" w:lineRule="auto"/>
        <w:ind w:left="-284"/>
        <w:jc w:val="both"/>
        <w:rPr>
          <w:rFonts w:ascii="Avenir Next LT Pro" w:eastAsia="Times New Roman" w:hAnsi="Avenir Next LT Pro" w:cs="Arial"/>
          <w:lang w:eastAsia="es-CO"/>
        </w:rPr>
      </w:pPr>
      <w:r w:rsidRPr="00D55B55">
        <w:rPr>
          <w:rFonts w:ascii="Avenir Next LT Pro" w:eastAsia="Times New Roman" w:hAnsi="Avenir Next LT Pro" w:cs="Arial"/>
          <w:b/>
          <w:bCs/>
          <w:lang w:eastAsia="es-CO"/>
        </w:rPr>
        <w:t>Plan de Normalización de Productos Pendientes:</w:t>
      </w:r>
      <w:r w:rsidRPr="00D55B55">
        <w:rPr>
          <w:rFonts w:ascii="Avenir Next LT Pro" w:eastAsia="Times New Roman" w:hAnsi="Avenir Next LT Pro" w:cs="Arial"/>
          <w:lang w:eastAsia="es-CO"/>
        </w:rPr>
        <w:t xml:space="preserve"> Como parte de las medidas orientadas a flexibilizar el modelo de investigación y promover el cumplimiento de los compromisos derivados de convocatorias anteriores, la Convocatoria 2027 incorpora un tratamiento diferenciado para los investigadores y proyectos con obligaciones pendientes, conforme al siguiente esquema:</w:t>
      </w:r>
    </w:p>
    <w:tbl>
      <w:tblPr>
        <w:tblStyle w:val="Tablaconcuadrcula"/>
        <w:tblW w:w="9167" w:type="dxa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5203"/>
      </w:tblGrid>
      <w:tr w:rsidR="00D55B55" w14:paraId="1E6AB8FE" w14:textId="77777777" w:rsidTr="00D55B55">
        <w:trPr>
          <w:jc w:val="center"/>
        </w:trPr>
        <w:tc>
          <w:tcPr>
            <w:tcW w:w="3964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255E0F" w14:textId="77777777" w:rsidR="00D55B55" w:rsidRPr="00D55B55" w:rsidRDefault="00D55B55" w:rsidP="00E531D5">
            <w:pPr>
              <w:jc w:val="center"/>
              <w:rPr>
                <w:rFonts w:ascii="Avenir Next LT Pro" w:eastAsia="Times New Roman" w:hAnsi="Avenir Next LT Pro" w:cs="Arial"/>
                <w:b/>
                <w:bCs/>
                <w:lang w:val="es-CO" w:eastAsia="es-CO"/>
              </w:rPr>
            </w:pPr>
            <w:r w:rsidRPr="00D55B55">
              <w:rPr>
                <w:rFonts w:ascii="Avenir Next LT Pro" w:eastAsia="Times New Roman" w:hAnsi="Avenir Next LT Pro" w:cs="Arial"/>
                <w:b/>
                <w:bCs/>
                <w:lang w:val="es-CO" w:eastAsia="es-CO"/>
              </w:rPr>
              <w:t>Situación del investigador o proyecto</w:t>
            </w:r>
          </w:p>
        </w:tc>
        <w:tc>
          <w:tcPr>
            <w:tcW w:w="5203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65C96" w14:textId="77777777" w:rsidR="00D55B55" w:rsidRPr="00D55B55" w:rsidRDefault="00D55B55" w:rsidP="00E531D5">
            <w:pPr>
              <w:jc w:val="center"/>
              <w:rPr>
                <w:rFonts w:ascii="Avenir Next LT Pro" w:eastAsia="Times New Roman" w:hAnsi="Avenir Next LT Pro" w:cs="Arial"/>
                <w:b/>
                <w:bCs/>
                <w:lang w:val="es-CO" w:eastAsia="es-CO"/>
              </w:rPr>
            </w:pPr>
            <w:r w:rsidRPr="00D55B55">
              <w:rPr>
                <w:rFonts w:ascii="Avenir Next LT Pro" w:eastAsia="Times New Roman" w:hAnsi="Avenir Next LT Pro" w:cs="Arial"/>
                <w:b/>
                <w:bCs/>
                <w:lang w:val="es-CO" w:eastAsia="es-CO"/>
              </w:rPr>
              <w:t>Tratamiento institucional sugerido</w:t>
            </w:r>
          </w:p>
        </w:tc>
      </w:tr>
      <w:tr w:rsidR="00D55B55" w14:paraId="135DB178" w14:textId="77777777" w:rsidTr="00D55B55">
        <w:trPr>
          <w:jc w:val="center"/>
        </w:trPr>
        <w:tc>
          <w:tcPr>
            <w:tcW w:w="39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479B39" w14:textId="77777777" w:rsidR="00D55B55" w:rsidRPr="00D55B55" w:rsidRDefault="00D55B55" w:rsidP="00D55B55">
            <w:pPr>
              <w:rPr>
                <w:rFonts w:ascii="Avenir Next LT Pro" w:eastAsia="Times New Roman" w:hAnsi="Avenir Next LT Pro" w:cs="Arial"/>
                <w:lang w:val="es-CO" w:eastAsia="es-CO"/>
              </w:rPr>
            </w:pPr>
            <w:r w:rsidRPr="00D55B55">
              <w:rPr>
                <w:rFonts w:ascii="Avenir Next LT Pro" w:eastAsia="Times New Roman" w:hAnsi="Avenir Next LT Pro" w:cs="Arial"/>
                <w:lang w:val="es-CO" w:eastAsia="es-CO"/>
              </w:rPr>
              <w:t>Proyectos finalizados hasta noviembre de 2023, con productos, informes o cierres pendientes.</w:t>
            </w:r>
          </w:p>
        </w:tc>
        <w:tc>
          <w:tcPr>
            <w:tcW w:w="520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1AC753" w14:textId="77777777" w:rsidR="00D55B55" w:rsidRPr="00D55B55" w:rsidRDefault="00D55B55" w:rsidP="00D55B55">
            <w:pPr>
              <w:rPr>
                <w:rFonts w:ascii="Avenir Next LT Pro" w:eastAsia="Times New Roman" w:hAnsi="Avenir Next LT Pro" w:cs="Arial"/>
                <w:lang w:val="es-CO" w:eastAsia="es-CO"/>
              </w:rPr>
            </w:pPr>
            <w:r w:rsidRPr="00D55B55">
              <w:rPr>
                <w:rFonts w:ascii="Avenir Next LT Pro" w:eastAsia="Times New Roman" w:hAnsi="Avenir Next LT Pro" w:cs="Arial"/>
                <w:lang w:val="es-CO" w:eastAsia="es-CO"/>
              </w:rPr>
              <w:t xml:space="preserve">Deberán acogerse obligatoriamente al Plan de Normalización para poder participar en la Convocatoria Interna 2027. El plan deberá identificar obligaciones, estado actual, evidencias </w:t>
            </w:r>
            <w:r w:rsidRPr="00D55B55">
              <w:rPr>
                <w:rFonts w:ascii="Avenir Next LT Pro" w:eastAsia="Times New Roman" w:hAnsi="Avenir Next LT Pro" w:cs="Arial"/>
                <w:lang w:val="es-CO" w:eastAsia="es-CO"/>
              </w:rPr>
              <w:lastRenderedPageBreak/>
              <w:t>de gestión, actividades de cierre, responsables, hitos y fechas ciertas de cumplimiento.</w:t>
            </w:r>
          </w:p>
        </w:tc>
      </w:tr>
      <w:tr w:rsidR="00D55B55" w14:paraId="5C4F0B80" w14:textId="77777777" w:rsidTr="00D55B55">
        <w:trPr>
          <w:jc w:val="center"/>
        </w:trPr>
        <w:tc>
          <w:tcPr>
            <w:tcW w:w="39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6DF4E1" w14:textId="77777777" w:rsidR="00D55B55" w:rsidRPr="00D55B55" w:rsidRDefault="00D55B55" w:rsidP="00D55B55">
            <w:pPr>
              <w:rPr>
                <w:rFonts w:ascii="Avenir Next LT Pro" w:eastAsia="Times New Roman" w:hAnsi="Avenir Next LT Pro" w:cs="Arial"/>
                <w:lang w:val="es-CO" w:eastAsia="es-CO"/>
              </w:rPr>
            </w:pPr>
            <w:r w:rsidRPr="00D55B55">
              <w:rPr>
                <w:rFonts w:ascii="Avenir Next LT Pro" w:eastAsia="Times New Roman" w:hAnsi="Avenir Next LT Pro" w:cs="Arial"/>
                <w:lang w:val="es-CO" w:eastAsia="es-CO"/>
              </w:rPr>
              <w:lastRenderedPageBreak/>
              <w:t>Productos de proyectos 2024 o 2025 aún dentro del plazo institucional aprobado.</w:t>
            </w:r>
          </w:p>
        </w:tc>
        <w:tc>
          <w:tcPr>
            <w:tcW w:w="520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581CA0" w14:textId="77777777" w:rsidR="00D55B55" w:rsidRPr="00D55B55" w:rsidRDefault="00D55B55" w:rsidP="00D55B55">
            <w:pPr>
              <w:rPr>
                <w:rFonts w:ascii="Avenir Next LT Pro" w:eastAsia="Times New Roman" w:hAnsi="Avenir Next LT Pro" w:cs="Arial"/>
                <w:lang w:val="es-CO" w:eastAsia="es-CO"/>
              </w:rPr>
            </w:pPr>
            <w:r w:rsidRPr="00D55B55">
              <w:rPr>
                <w:rFonts w:ascii="Avenir Next LT Pro" w:eastAsia="Times New Roman" w:hAnsi="Avenir Next LT Pro" w:cs="Arial"/>
                <w:lang w:val="es-CO" w:eastAsia="es-CO"/>
              </w:rPr>
              <w:t>No se considerarán en mora mientras el plazo institucional de entrega esté vigente y existan evidencias verificables de avance o de gestión.</w:t>
            </w:r>
          </w:p>
        </w:tc>
      </w:tr>
      <w:tr w:rsidR="00D55B55" w14:paraId="5274DC8A" w14:textId="77777777" w:rsidTr="00D55B55">
        <w:trPr>
          <w:jc w:val="center"/>
        </w:trPr>
        <w:tc>
          <w:tcPr>
            <w:tcW w:w="39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79248F" w14:textId="77777777" w:rsidR="00D55B55" w:rsidRPr="00D55B55" w:rsidRDefault="00D55B55" w:rsidP="00D55B55">
            <w:pPr>
              <w:rPr>
                <w:rFonts w:ascii="Avenir Next LT Pro" w:eastAsia="Times New Roman" w:hAnsi="Avenir Next LT Pro" w:cs="Arial"/>
                <w:lang w:val="es-CO" w:eastAsia="es-CO"/>
              </w:rPr>
            </w:pPr>
            <w:r w:rsidRPr="00D55B55">
              <w:rPr>
                <w:rFonts w:ascii="Avenir Next LT Pro" w:eastAsia="Times New Roman" w:hAnsi="Avenir Next LT Pro" w:cs="Arial"/>
                <w:lang w:val="es-CO" w:eastAsia="es-CO"/>
              </w:rPr>
              <w:t>Productos sometidos a evaluación editorial, externa o de registro.</w:t>
            </w:r>
          </w:p>
        </w:tc>
        <w:tc>
          <w:tcPr>
            <w:tcW w:w="520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7C73D7" w14:textId="77777777" w:rsidR="00D55B55" w:rsidRPr="00D55B55" w:rsidRDefault="00D55B55" w:rsidP="00D55B55">
            <w:pPr>
              <w:rPr>
                <w:rFonts w:ascii="Avenir Next LT Pro" w:eastAsia="Times New Roman" w:hAnsi="Avenir Next LT Pro" w:cs="Arial"/>
                <w:lang w:val="es-CO" w:eastAsia="es-CO"/>
              </w:rPr>
            </w:pPr>
            <w:r w:rsidRPr="00D55B55">
              <w:rPr>
                <w:rFonts w:ascii="Avenir Next LT Pro" w:eastAsia="Times New Roman" w:hAnsi="Avenir Next LT Pro" w:cs="Arial"/>
                <w:lang w:val="es-CO" w:eastAsia="es-CO"/>
              </w:rPr>
              <w:t>Podrán acreditarse mediante soporte de envío, evaluación, aceptación, correcciones, radicación, registro o comunicación oficial de la revista, editorial o entidad receptora. Tales evidencias podrán sustentar solicitudes de prórroga o seguimiento posterior.</w:t>
            </w:r>
          </w:p>
        </w:tc>
      </w:tr>
      <w:tr w:rsidR="00D55B55" w14:paraId="01B79210" w14:textId="77777777" w:rsidTr="00D55B55">
        <w:trPr>
          <w:jc w:val="center"/>
        </w:trPr>
        <w:tc>
          <w:tcPr>
            <w:tcW w:w="396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3D8760" w14:textId="77777777" w:rsidR="00D55B55" w:rsidRPr="00D55B55" w:rsidRDefault="00D55B55" w:rsidP="00D55B55">
            <w:pPr>
              <w:rPr>
                <w:rFonts w:ascii="Avenir Next LT Pro" w:eastAsia="Times New Roman" w:hAnsi="Avenir Next LT Pro" w:cs="Arial"/>
                <w:lang w:val="es-CO" w:eastAsia="es-CO"/>
              </w:rPr>
            </w:pPr>
            <w:r w:rsidRPr="00D55B55">
              <w:rPr>
                <w:rFonts w:ascii="Avenir Next LT Pro" w:eastAsia="Times New Roman" w:hAnsi="Avenir Next LT Pro" w:cs="Arial"/>
                <w:lang w:val="es-CO" w:eastAsia="es-CO"/>
              </w:rPr>
              <w:t>Incumplimiento injustificado o ausencia de gestión verificable.</w:t>
            </w:r>
          </w:p>
        </w:tc>
        <w:tc>
          <w:tcPr>
            <w:tcW w:w="5203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7F67A3" w14:textId="77777777" w:rsidR="00D55B55" w:rsidRPr="00D55B55" w:rsidRDefault="00D55B55" w:rsidP="00D55B55">
            <w:pPr>
              <w:rPr>
                <w:rFonts w:ascii="Avenir Next LT Pro" w:eastAsia="Times New Roman" w:hAnsi="Avenir Next LT Pro" w:cs="Arial"/>
                <w:lang w:val="es-CO" w:eastAsia="es-CO"/>
              </w:rPr>
            </w:pPr>
            <w:r w:rsidRPr="00D55B55">
              <w:rPr>
                <w:rFonts w:ascii="Avenir Next LT Pro" w:eastAsia="Times New Roman" w:hAnsi="Avenir Next LT Pro" w:cs="Arial"/>
                <w:lang w:val="es-CO" w:eastAsia="es-CO"/>
              </w:rPr>
              <w:t>Podrá constituir restricción para participar en nuevas propuestas o para recibir asignación de horas de investigación, de conformidad con la evaluación institucional y el debido proceso.</w:t>
            </w:r>
          </w:p>
        </w:tc>
      </w:tr>
    </w:tbl>
    <w:p w14:paraId="3C036899" w14:textId="1F36DEFF" w:rsidR="0086714A" w:rsidRPr="00EA1B4C" w:rsidRDefault="0086714A" w:rsidP="00D55B55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Arial"/>
          <w:lang w:eastAsia="es-CO"/>
        </w:rPr>
      </w:pPr>
    </w:p>
    <w:p w14:paraId="125B3EF9" w14:textId="77777777" w:rsidR="00616E0F" w:rsidRPr="00EA1B4C" w:rsidRDefault="00616E0F" w:rsidP="00B2225E">
      <w:pPr>
        <w:pStyle w:val="Sinespaciado"/>
        <w:ind w:left="-567"/>
        <w:rPr>
          <w:rFonts w:ascii="Avenir Next LT Pro" w:hAnsi="Avenir Next LT Pro" w:cs="Arial"/>
          <w:b/>
          <w:bCs/>
          <w:lang w:eastAsia="es-CO"/>
        </w:rPr>
      </w:pPr>
      <w:r w:rsidRPr="00EA1B4C">
        <w:rPr>
          <w:rFonts w:ascii="Avenir Next LT Pro" w:hAnsi="Avenir Next LT Pro" w:cs="Arial"/>
          <w:b/>
          <w:bCs/>
          <w:lang w:eastAsia="es-CO"/>
        </w:rPr>
        <w:t>2. Proyección y Fortalecimiento del Talento</w:t>
      </w:r>
    </w:p>
    <w:p w14:paraId="518B9B04" w14:textId="446F04E8" w:rsidR="00616E0F" w:rsidRPr="00EA1B4C" w:rsidRDefault="00616E0F" w:rsidP="00B2225E">
      <w:pPr>
        <w:numPr>
          <w:ilvl w:val="0"/>
          <w:numId w:val="2"/>
        </w:numPr>
        <w:tabs>
          <w:tab w:val="clear" w:pos="720"/>
          <w:tab w:val="num" w:pos="1560"/>
        </w:tabs>
        <w:spacing w:before="100" w:beforeAutospacing="1" w:after="100" w:afterAutospacing="1" w:line="240" w:lineRule="auto"/>
        <w:ind w:left="-284"/>
        <w:jc w:val="both"/>
        <w:rPr>
          <w:rFonts w:ascii="Avenir Next LT Pro" w:eastAsia="Times New Roman" w:hAnsi="Avenir Next LT Pro" w:cs="Arial"/>
          <w:lang w:eastAsia="es-CO"/>
        </w:rPr>
      </w:pPr>
      <w:r w:rsidRPr="00EA1B4C">
        <w:rPr>
          <w:rFonts w:ascii="Avenir Next LT Pro" w:eastAsia="Times New Roman" w:hAnsi="Avenir Next LT Pro" w:cs="Arial"/>
          <w:b/>
          <w:bCs/>
          <w:lang w:eastAsia="es-CO"/>
        </w:rPr>
        <w:t>Formación de Recurso Humano:</w:t>
      </w:r>
      <w:r w:rsidRPr="00EA1B4C">
        <w:rPr>
          <w:rFonts w:ascii="Avenir Next LT Pro" w:eastAsia="Times New Roman" w:hAnsi="Avenir Next LT Pro" w:cs="Arial"/>
          <w:lang w:eastAsia="es-CO"/>
        </w:rPr>
        <w:t xml:space="preserve"> Existe una proyección clara hacia la alta formación; los profesores que asesoren tesis de Maestría o Doctorado tienen </w:t>
      </w:r>
      <w:r w:rsidR="00B2225E" w:rsidRPr="00EA1B4C">
        <w:rPr>
          <w:rFonts w:ascii="Avenir Next LT Pro" w:eastAsia="Times New Roman" w:hAnsi="Avenir Next LT Pro" w:cs="Arial"/>
          <w:lang w:eastAsia="es-CO"/>
        </w:rPr>
        <w:t xml:space="preserve">la posibilidad de tener </w:t>
      </w:r>
      <w:r w:rsidRPr="00EA1B4C">
        <w:rPr>
          <w:rFonts w:ascii="Avenir Next LT Pro" w:eastAsia="Times New Roman" w:hAnsi="Avenir Next LT Pro" w:cs="Arial"/>
          <w:lang w:eastAsia="es-CO"/>
        </w:rPr>
        <w:t>garantizadas sus horas de acompañamiento durante la duración total del programa (2 a 3 años).</w:t>
      </w:r>
      <w:r w:rsidR="00B2225E" w:rsidRPr="00EA1B4C">
        <w:rPr>
          <w:rFonts w:ascii="Avenir Next LT Pro" w:eastAsia="Times New Roman" w:hAnsi="Avenir Next LT Pro" w:cs="Arial"/>
          <w:lang w:eastAsia="es-CO"/>
        </w:rPr>
        <w:t xml:space="preserve"> Esto tiene al menos tres efectos: 1. alivianar la carga presupuestal de los posgrados. 2. Incrementar la carga presupuestal de la Vicerrectoría de investigaciones y, 3. Incentivar a los profesores internos a acompañar procesos de formación de recurso humano en la propia institución (asunto que a la fecha es crítico).</w:t>
      </w:r>
    </w:p>
    <w:p w14:paraId="3EBD5FE5" w14:textId="77777777" w:rsidR="00A51920" w:rsidRDefault="00616E0F" w:rsidP="00D4501A">
      <w:pPr>
        <w:numPr>
          <w:ilvl w:val="0"/>
          <w:numId w:val="2"/>
        </w:numPr>
        <w:tabs>
          <w:tab w:val="clear" w:pos="720"/>
          <w:tab w:val="num" w:pos="1560"/>
        </w:tabs>
        <w:spacing w:before="100" w:beforeAutospacing="1" w:after="100" w:afterAutospacing="1" w:line="240" w:lineRule="auto"/>
        <w:ind w:left="-284"/>
        <w:jc w:val="both"/>
        <w:rPr>
          <w:rFonts w:ascii="Avenir Next LT Pro" w:eastAsia="Times New Roman" w:hAnsi="Avenir Next LT Pro" w:cs="Arial"/>
          <w:lang w:eastAsia="es-CO"/>
        </w:rPr>
      </w:pPr>
      <w:r w:rsidRPr="00EA1B4C">
        <w:rPr>
          <w:rFonts w:ascii="Avenir Next LT Pro" w:eastAsia="Times New Roman" w:hAnsi="Avenir Next LT Pro" w:cs="Arial"/>
          <w:b/>
          <w:bCs/>
          <w:lang w:eastAsia="es-CO"/>
        </w:rPr>
        <w:t>Crecimiento del Investigador:</w:t>
      </w:r>
      <w:r w:rsidRPr="00EA1B4C">
        <w:rPr>
          <w:rFonts w:ascii="Avenir Next LT Pro" w:eastAsia="Times New Roman" w:hAnsi="Avenir Next LT Pro" w:cs="Arial"/>
          <w:lang w:eastAsia="es-CO"/>
        </w:rPr>
        <w:t xml:space="preserve"> La figura del </w:t>
      </w:r>
      <w:r w:rsidR="00B2225E" w:rsidRPr="00EA1B4C">
        <w:rPr>
          <w:rFonts w:ascii="Avenir Next LT Pro" w:eastAsia="Times New Roman" w:hAnsi="Avenir Next LT Pro" w:cs="Arial"/>
          <w:lang w:eastAsia="es-CO"/>
        </w:rPr>
        <w:t>I</w:t>
      </w:r>
      <w:r w:rsidRPr="00EA1B4C">
        <w:rPr>
          <w:rFonts w:ascii="Avenir Next LT Pro" w:eastAsia="Times New Roman" w:hAnsi="Avenir Next LT Pro" w:cs="Arial"/>
          <w:lang w:eastAsia="es-CO"/>
        </w:rPr>
        <w:t>nvestigador Nove asegura que la base docente de la universidad tenga un camino de entrada guiado hacia la investigación académica.</w:t>
      </w:r>
    </w:p>
    <w:p w14:paraId="2C409B99" w14:textId="6D4D04C8" w:rsidR="00616E0F" w:rsidRPr="00A51920" w:rsidRDefault="00616E0F" w:rsidP="00A51920">
      <w:pPr>
        <w:spacing w:before="100" w:beforeAutospacing="1" w:after="100" w:afterAutospacing="1" w:line="240" w:lineRule="auto"/>
        <w:ind w:left="-284"/>
        <w:jc w:val="both"/>
        <w:rPr>
          <w:rFonts w:ascii="Avenir Next LT Pro" w:eastAsia="Times New Roman" w:hAnsi="Avenir Next LT Pro" w:cs="Arial"/>
          <w:lang w:eastAsia="es-CO"/>
        </w:rPr>
      </w:pPr>
      <w:r w:rsidRPr="00A51920">
        <w:rPr>
          <w:rFonts w:ascii="Avenir Next LT Pro" w:hAnsi="Avenir Next LT Pro" w:cs="Arial"/>
          <w:b/>
          <w:bCs/>
          <w:lang w:eastAsia="es-CO"/>
        </w:rPr>
        <w:t>3.</w:t>
      </w:r>
      <w:r w:rsidRPr="00A51920">
        <w:rPr>
          <w:rFonts w:ascii="Avenir Next LT Pro" w:hAnsi="Avenir Next LT Pro" w:cs="Arial"/>
          <w:lang w:eastAsia="es-CO"/>
        </w:rPr>
        <w:t xml:space="preserve"> </w:t>
      </w:r>
      <w:r w:rsidRPr="00A51920">
        <w:rPr>
          <w:rFonts w:ascii="Avenir Next LT Pro" w:hAnsi="Avenir Next LT Pro" w:cs="Arial"/>
          <w:b/>
          <w:bCs/>
          <w:lang w:eastAsia="es-CO"/>
        </w:rPr>
        <w:t>Apertura Institucional y de Redes</w:t>
      </w:r>
    </w:p>
    <w:p w14:paraId="459E1393" w14:textId="77777777" w:rsidR="00616E0F" w:rsidRPr="00EA1B4C" w:rsidRDefault="00616E0F" w:rsidP="00D4501A">
      <w:pPr>
        <w:numPr>
          <w:ilvl w:val="0"/>
          <w:numId w:val="3"/>
        </w:numPr>
        <w:tabs>
          <w:tab w:val="clear" w:pos="720"/>
          <w:tab w:val="num" w:pos="1701"/>
        </w:tabs>
        <w:spacing w:before="100" w:beforeAutospacing="1" w:after="100" w:afterAutospacing="1" w:line="240" w:lineRule="auto"/>
        <w:ind w:left="284"/>
        <w:jc w:val="both"/>
        <w:rPr>
          <w:rFonts w:ascii="Avenir Next LT Pro" w:eastAsia="Times New Roman" w:hAnsi="Avenir Next LT Pro" w:cs="Arial"/>
          <w:lang w:eastAsia="es-CO"/>
        </w:rPr>
      </w:pPr>
      <w:r w:rsidRPr="00EA1B4C">
        <w:rPr>
          <w:rFonts w:ascii="Avenir Next LT Pro" w:eastAsia="Times New Roman" w:hAnsi="Avenir Next LT Pro" w:cs="Arial"/>
          <w:b/>
          <w:bCs/>
          <w:lang w:eastAsia="es-CO"/>
        </w:rPr>
        <w:t>Integración Regional:</w:t>
      </w:r>
      <w:r w:rsidRPr="00EA1B4C">
        <w:rPr>
          <w:rFonts w:ascii="Avenir Next LT Pro" w:eastAsia="Times New Roman" w:hAnsi="Avenir Next LT Pro" w:cs="Arial"/>
          <w:lang w:eastAsia="es-CO"/>
        </w:rPr>
        <w:t xml:space="preserve"> La convocatoria 2027 incentiva explícitamente la colaboración entre la sede Medellín y los Centros Regionales.</w:t>
      </w:r>
    </w:p>
    <w:p w14:paraId="5C61C3D2" w14:textId="77777777" w:rsidR="00616E0F" w:rsidRPr="00EA1B4C" w:rsidRDefault="00616E0F" w:rsidP="00D4501A">
      <w:pPr>
        <w:numPr>
          <w:ilvl w:val="0"/>
          <w:numId w:val="3"/>
        </w:numPr>
        <w:tabs>
          <w:tab w:val="clear" w:pos="720"/>
          <w:tab w:val="num" w:pos="1701"/>
        </w:tabs>
        <w:spacing w:before="100" w:beforeAutospacing="1" w:after="100" w:afterAutospacing="1" w:line="240" w:lineRule="auto"/>
        <w:ind w:left="284"/>
        <w:jc w:val="both"/>
        <w:rPr>
          <w:rFonts w:ascii="Avenir Next LT Pro" w:eastAsia="Times New Roman" w:hAnsi="Avenir Next LT Pro" w:cs="Arial"/>
          <w:lang w:eastAsia="es-CO"/>
        </w:rPr>
      </w:pPr>
      <w:r w:rsidRPr="00EA1B4C">
        <w:rPr>
          <w:rFonts w:ascii="Avenir Next LT Pro" w:eastAsia="Times New Roman" w:hAnsi="Avenir Next LT Pro" w:cs="Arial"/>
          <w:b/>
          <w:bCs/>
          <w:lang w:eastAsia="es-CO"/>
        </w:rPr>
        <w:t>Aceptación de Trayectorias Externas:</w:t>
      </w:r>
      <w:r w:rsidRPr="00EA1B4C">
        <w:rPr>
          <w:rFonts w:ascii="Avenir Next LT Pro" w:eastAsia="Times New Roman" w:hAnsi="Avenir Next LT Pro" w:cs="Arial"/>
          <w:lang w:eastAsia="es-CO"/>
        </w:rPr>
        <w:t xml:space="preserve"> Al permitir que docentes con experiencia previa (aunque no sea en la Luis Amigó) actúen como coinvestigadores, la Universidad aprovecha el capital intelectual "importado" para dinamizar sus grupos de investigación.</w:t>
      </w:r>
    </w:p>
    <w:p w14:paraId="6E45079C" w14:textId="77777777" w:rsidR="00616E0F" w:rsidRPr="00EA1B4C" w:rsidRDefault="00616E0F" w:rsidP="00616E0F">
      <w:pPr>
        <w:jc w:val="both"/>
        <w:rPr>
          <w:rFonts w:ascii="Avenir Next LT Pro" w:hAnsi="Avenir Next LT Pro" w:cs="Arial"/>
        </w:rPr>
      </w:pPr>
    </w:p>
    <w:p w14:paraId="6A632DF6" w14:textId="77777777" w:rsidR="00616E0F" w:rsidRPr="00EA1B4C" w:rsidRDefault="00616E0F" w:rsidP="00616E0F">
      <w:pPr>
        <w:jc w:val="center"/>
        <w:rPr>
          <w:rFonts w:ascii="Avenir Next LT Pro" w:hAnsi="Avenir Next LT Pro" w:cs="Arial"/>
        </w:rPr>
      </w:pPr>
    </w:p>
    <w:sectPr w:rsidR="00616E0F" w:rsidRPr="00EA1B4C" w:rsidSect="00EA1B4C">
      <w:pgSz w:w="12240" w:h="15840"/>
      <w:pgMar w:top="1985" w:right="1985" w:bottom="1985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12F5A"/>
    <w:multiLevelType w:val="multilevel"/>
    <w:tmpl w:val="FFE82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DA01C1"/>
    <w:multiLevelType w:val="multilevel"/>
    <w:tmpl w:val="0AC8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5878C2"/>
    <w:multiLevelType w:val="multilevel"/>
    <w:tmpl w:val="FAF2A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E0F"/>
    <w:rsid w:val="003161A8"/>
    <w:rsid w:val="003A2767"/>
    <w:rsid w:val="00616E0F"/>
    <w:rsid w:val="0075157F"/>
    <w:rsid w:val="0086714A"/>
    <w:rsid w:val="00981974"/>
    <w:rsid w:val="00A24DC2"/>
    <w:rsid w:val="00A254F9"/>
    <w:rsid w:val="00A51920"/>
    <w:rsid w:val="00B2225E"/>
    <w:rsid w:val="00D4501A"/>
    <w:rsid w:val="00D55B55"/>
    <w:rsid w:val="00D95232"/>
    <w:rsid w:val="00DD6539"/>
    <w:rsid w:val="00EA1B4C"/>
    <w:rsid w:val="00EC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0B606"/>
  <w15:chartTrackingRefBased/>
  <w15:docId w15:val="{F7BA8B04-94DB-4C02-81AA-2AE12E4E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616E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inespaciado">
    <w:name w:val="No Spacing"/>
    <w:uiPriority w:val="1"/>
    <w:qFormat/>
    <w:rsid w:val="00A254F9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A254F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254F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254F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254F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254F9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86714A"/>
    <w:pPr>
      <w:ind w:left="720"/>
      <w:contextualSpacing/>
    </w:pPr>
  </w:style>
  <w:style w:type="table" w:styleId="Tablaconcuadrcula">
    <w:name w:val="Table Grid"/>
    <w:basedOn w:val="Tablanormal"/>
    <w:uiPriority w:val="59"/>
    <w:rsid w:val="00D55B55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0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5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1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8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1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3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6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8463F-9909-4122-A60C-71FD92A28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1078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ZULUAGA</dc:creator>
  <cp:keywords/>
  <dc:description/>
  <cp:lastModifiedBy>Ayudas Tecnológicas</cp:lastModifiedBy>
  <cp:revision>6</cp:revision>
  <dcterms:created xsi:type="dcterms:W3CDTF">2026-05-21T19:46:00Z</dcterms:created>
  <dcterms:modified xsi:type="dcterms:W3CDTF">2026-07-17T17:35:00Z</dcterms:modified>
</cp:coreProperties>
</file>